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595E81">
        <w:rPr>
          <w:rFonts w:ascii="Arial" w:hAnsi="Arial" w:cs="Arial"/>
          <w:sz w:val="28"/>
          <w:szCs w:val="28"/>
        </w:rPr>
        <w:t xml:space="preserve"> - NÁVRH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4C2A3D" w:rsidRPr="00603F0A">
        <w:rPr>
          <w:rFonts w:ascii="Arial" w:hAnsi="Arial" w:cs="Arial"/>
          <w:b/>
        </w:rPr>
        <w:t>II/</w:t>
      </w:r>
      <w:r w:rsidR="004C2A3D">
        <w:rPr>
          <w:rFonts w:ascii="Arial" w:hAnsi="Arial" w:cs="Arial"/>
          <w:b/>
        </w:rPr>
        <w:t>406 Dvorce - Telč</w:t>
      </w:r>
      <w:r w:rsidR="004C2A3D" w:rsidRPr="00603F0A">
        <w:rPr>
          <w:rFonts w:ascii="Arial" w:hAnsi="Arial" w:cs="Arial"/>
          <w:b/>
        </w:rPr>
        <w:t xml:space="preserve">, </w:t>
      </w:r>
      <w:r w:rsidR="004C2A3D">
        <w:rPr>
          <w:rFonts w:ascii="Arial" w:hAnsi="Arial" w:cs="Arial"/>
          <w:b/>
        </w:rPr>
        <w:t>3</w:t>
      </w:r>
      <w:r w:rsidR="004C2A3D" w:rsidRPr="00603F0A">
        <w:rPr>
          <w:rFonts w:ascii="Arial" w:hAnsi="Arial" w:cs="Arial"/>
          <w:b/>
        </w:rPr>
        <w:t>. stavba</w:t>
      </w:r>
      <w:r w:rsidR="00827D8E" w:rsidRPr="009A50B9">
        <w:rPr>
          <w:rFonts w:ascii="Arial" w:hAnsi="Arial" w:cs="Arial"/>
          <w:b/>
        </w:rPr>
        <w:t>“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43163">
        <w:rPr>
          <w:rFonts w:ascii="Arial" w:eastAsia="MS Mincho" w:hAnsi="Arial" w:cs="Arial"/>
        </w:rPr>
        <w:t>Miroslav Dokulil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9E725B">
        <w:rPr>
          <w:rFonts w:ascii="Arial" w:hAnsi="Arial" w:cs="Arial"/>
          <w:bCs/>
          <w:lang w:eastAsia="cs-CZ"/>
        </w:rPr>
        <w:t>4 2</w:t>
      </w:r>
      <w:r w:rsidR="007172A0" w:rsidRPr="009E725B">
        <w:rPr>
          <w:rFonts w:ascii="Arial" w:hAnsi="Arial" w:cs="Arial"/>
          <w:bCs/>
          <w:lang w:eastAsia="cs-CZ"/>
        </w:rPr>
        <w:t>11</w:t>
      </w:r>
      <w:r w:rsidR="00143163" w:rsidRPr="009E725B">
        <w:rPr>
          <w:rFonts w:ascii="Arial" w:hAnsi="Arial" w:cs="Arial"/>
          <w:bCs/>
          <w:lang w:eastAsia="cs-CZ"/>
        </w:rPr>
        <w:t> </w:t>
      </w:r>
      <w:r w:rsidR="007172A0" w:rsidRPr="009E725B">
        <w:rPr>
          <w:rFonts w:ascii="Arial" w:hAnsi="Arial" w:cs="Arial"/>
          <w:bCs/>
          <w:lang w:eastAsia="cs-CZ"/>
        </w:rPr>
        <w:t>071</w:t>
      </w:r>
      <w:r w:rsidR="00143163" w:rsidRPr="009E725B">
        <w:rPr>
          <w:rFonts w:ascii="Arial" w:hAnsi="Arial" w:cs="Arial"/>
          <w:bCs/>
          <w:lang w:eastAsia="cs-CZ"/>
        </w:rPr>
        <w:t xml:space="preserve"> </w:t>
      </w:r>
      <w:r w:rsidR="007172A0" w:rsidRPr="009E725B">
        <w:rPr>
          <w:rFonts w:ascii="Arial" w:hAnsi="Arial" w:cs="Arial"/>
          <w:bCs/>
          <w:lang w:eastAsia="cs-CZ"/>
        </w:rPr>
        <w:t>069</w:t>
      </w:r>
      <w:r w:rsidR="002467ED" w:rsidRPr="009E725B">
        <w:rPr>
          <w:rFonts w:ascii="Arial" w:hAnsi="Arial" w:cs="Arial"/>
          <w:bCs/>
          <w:lang w:eastAsia="cs-CZ"/>
        </w:rPr>
        <w:t xml:space="preserve"> </w:t>
      </w:r>
      <w:r w:rsidR="001D5E92" w:rsidRPr="009E725B">
        <w:rPr>
          <w:rFonts w:ascii="Arial" w:hAnsi="Arial" w:cs="Arial"/>
          <w:bCs/>
          <w:lang w:eastAsia="cs-CZ"/>
        </w:rPr>
        <w:t>/</w:t>
      </w:r>
      <w:r w:rsidR="002467ED" w:rsidRPr="009E725B">
        <w:rPr>
          <w:rFonts w:ascii="Arial" w:hAnsi="Arial" w:cs="Arial"/>
          <w:bCs/>
          <w:lang w:eastAsia="cs-CZ"/>
        </w:rPr>
        <w:t xml:space="preserve"> </w:t>
      </w:r>
      <w:r w:rsidR="001D5E92" w:rsidRPr="009E725B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A01E29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A01E29" w:rsidRPr="009A50B9">
        <w:rPr>
          <w:rFonts w:ascii="Arial" w:hAnsi="Arial" w:cs="Arial"/>
          <w:b/>
          <w:sz w:val="22"/>
        </w:rPr>
      </w:r>
      <w:r w:rsidR="00A01E29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A01E29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A01E2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A01E29" w:rsidRPr="009A50B9">
        <w:rPr>
          <w:rFonts w:ascii="Arial" w:hAnsi="Arial" w:cs="Arial"/>
        </w:rPr>
      </w:r>
      <w:r w:rsidR="00A01E29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A01E29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4C2A3D" w:rsidRDefault="00D96E79" w:rsidP="004C2A3D">
      <w:pPr>
        <w:pStyle w:val="Odstavecseseznamem"/>
        <w:numPr>
          <w:ilvl w:val="1"/>
          <w:numId w:val="6"/>
        </w:numPr>
        <w:spacing w:before="120"/>
        <w:jc w:val="both"/>
        <w:rPr>
          <w:rFonts w:ascii="Arial" w:eastAsia="MS Mincho" w:hAnsi="Arial" w:cs="Arial"/>
        </w:rPr>
      </w:pPr>
      <w:r w:rsidRPr="004C2A3D">
        <w:rPr>
          <w:rFonts w:ascii="Arial" w:hAnsi="Arial" w:cs="Arial"/>
          <w:spacing w:val="4"/>
        </w:rPr>
        <w:t>Předmětem</w:t>
      </w:r>
      <w:r w:rsidR="00AF208A" w:rsidRPr="004C2A3D">
        <w:rPr>
          <w:rFonts w:ascii="Arial" w:hAnsi="Arial" w:cs="Arial"/>
          <w:spacing w:val="4"/>
        </w:rPr>
        <w:t xml:space="preserve"> smlouvy</w:t>
      </w:r>
      <w:r w:rsidR="004C2A3D" w:rsidRPr="004C2A3D">
        <w:rPr>
          <w:rFonts w:ascii="Arial" w:eastAsia="MS Mincho" w:hAnsi="Arial" w:cs="Arial"/>
        </w:rPr>
        <w:t xml:space="preserve"> je zhotovení </w:t>
      </w:r>
      <w:r w:rsidR="00595E81">
        <w:rPr>
          <w:rFonts w:ascii="Arial" w:eastAsia="MS Mincho" w:hAnsi="Arial" w:cs="Arial"/>
        </w:rPr>
        <w:t>stavby</w:t>
      </w:r>
      <w:r w:rsidR="004C2A3D" w:rsidRPr="004C2A3D">
        <w:rPr>
          <w:rFonts w:ascii="Arial" w:eastAsia="MS Mincho" w:hAnsi="Arial" w:cs="Arial"/>
        </w:rPr>
        <w:t xml:space="preserve"> „II/406 Dvorce – Telč, 3. stavba“</w:t>
      </w:r>
      <w:r w:rsidR="00595E81">
        <w:rPr>
          <w:rFonts w:ascii="Arial" w:eastAsia="MS Mincho" w:hAnsi="Arial" w:cs="Arial"/>
        </w:rPr>
        <w:t>(dále též „dílo“ nebo „stavba“) zhotovitelem</w:t>
      </w:r>
      <w:r w:rsidR="004C2A3D" w:rsidRPr="004C2A3D">
        <w:rPr>
          <w:rFonts w:ascii="Arial" w:eastAsia="MS Mincho" w:hAnsi="Arial" w:cs="Arial"/>
        </w:rPr>
        <w:t xml:space="preserve">.  </w:t>
      </w:r>
      <w:r w:rsidR="00595E81">
        <w:rPr>
          <w:rFonts w:ascii="Arial" w:eastAsia="MS Mincho" w:hAnsi="Arial" w:cs="Arial"/>
        </w:rPr>
        <w:t>Dílo</w:t>
      </w:r>
      <w:r w:rsidR="004C2A3D" w:rsidRPr="004C2A3D">
        <w:rPr>
          <w:rFonts w:ascii="Arial" w:eastAsia="MS Mincho" w:hAnsi="Arial" w:cs="Arial"/>
        </w:rPr>
        <w:t xml:space="preserve"> se skládá ze dvou samostatných staveb. </w:t>
      </w:r>
      <w:r w:rsidR="004A17A6">
        <w:rPr>
          <w:rFonts w:ascii="Arial" w:eastAsia="MS Mincho" w:hAnsi="Arial" w:cs="Arial"/>
        </w:rPr>
        <w:t>První stavba zahrnuje přestavbu stávající stykové křižovatky silnic II/112 a II/406 na jednopruhovou tříramennou okružní křižovatku a současně i rekonstrukci silnice II/406 po křižovatku s I/23 realizovanou ve 3 etapách</w:t>
      </w:r>
      <w:r w:rsidR="00607FD8">
        <w:rPr>
          <w:rFonts w:ascii="Arial" w:eastAsia="MS Mincho" w:hAnsi="Arial" w:cs="Arial"/>
        </w:rPr>
        <w:t xml:space="preserve"> (dále „první stavba“)</w:t>
      </w:r>
      <w:r w:rsidR="004A17A6">
        <w:rPr>
          <w:rFonts w:ascii="Arial" w:eastAsia="MS Mincho" w:hAnsi="Arial" w:cs="Arial"/>
        </w:rPr>
        <w:t xml:space="preserve">. </w:t>
      </w:r>
      <w:r w:rsidR="004C2A3D" w:rsidRPr="004C2A3D">
        <w:rPr>
          <w:rFonts w:ascii="Arial" w:eastAsia="MS Mincho" w:hAnsi="Arial" w:cs="Arial"/>
        </w:rPr>
        <w:t xml:space="preserve">Druhá stavba </w:t>
      </w:r>
      <w:r w:rsidR="004A17A6">
        <w:rPr>
          <w:rFonts w:ascii="Arial" w:eastAsia="MS Mincho" w:hAnsi="Arial" w:cs="Arial"/>
        </w:rPr>
        <w:t xml:space="preserve">o délce 2,225 km </w:t>
      </w:r>
      <w:r w:rsidR="004C2A3D" w:rsidRPr="004C2A3D">
        <w:rPr>
          <w:rFonts w:ascii="Arial" w:eastAsia="MS Mincho" w:hAnsi="Arial" w:cs="Arial"/>
        </w:rPr>
        <w:t>řeší rekonstrukci silnice II/406 v úseku</w:t>
      </w:r>
      <w:r w:rsidR="00E707B6">
        <w:rPr>
          <w:rFonts w:ascii="Arial" w:eastAsia="MS Mincho" w:hAnsi="Arial" w:cs="Arial"/>
        </w:rPr>
        <w:t xml:space="preserve"> mezi křižovatkou silnic II/406</w:t>
      </w:r>
      <w:r w:rsidR="00FB2F7B">
        <w:rPr>
          <w:rFonts w:ascii="Arial" w:eastAsia="MS Mincho" w:hAnsi="Arial" w:cs="Arial"/>
        </w:rPr>
        <w:t xml:space="preserve">, </w:t>
      </w:r>
      <w:r w:rsidR="004C2A3D" w:rsidRPr="004C2A3D">
        <w:rPr>
          <w:rFonts w:ascii="Arial" w:eastAsia="MS Mincho" w:hAnsi="Arial" w:cs="Arial"/>
        </w:rPr>
        <w:t>III/11262</w:t>
      </w:r>
      <w:r w:rsidR="00FB2F7B">
        <w:rPr>
          <w:rFonts w:ascii="Arial" w:eastAsia="MS Mincho" w:hAnsi="Arial" w:cs="Arial"/>
        </w:rPr>
        <w:t xml:space="preserve">, </w:t>
      </w:r>
      <w:r w:rsidR="004C2A3D" w:rsidRPr="004C2A3D">
        <w:rPr>
          <w:rFonts w:ascii="Arial" w:eastAsia="MS Mincho" w:hAnsi="Arial" w:cs="Arial"/>
        </w:rPr>
        <w:t xml:space="preserve">MK a </w:t>
      </w:r>
      <w:r w:rsidR="00FB2F7B">
        <w:rPr>
          <w:rFonts w:ascii="Arial" w:eastAsia="MS Mincho" w:hAnsi="Arial" w:cs="Arial"/>
        </w:rPr>
        <w:t>místní</w:t>
      </w:r>
      <w:r w:rsidR="00607FD8">
        <w:rPr>
          <w:rFonts w:ascii="Arial" w:eastAsia="MS Mincho" w:hAnsi="Arial" w:cs="Arial"/>
        </w:rPr>
        <w:t xml:space="preserve"> částí města Telč –</w:t>
      </w:r>
      <w:r w:rsidR="004C2A3D" w:rsidRPr="004C2A3D">
        <w:rPr>
          <w:rFonts w:ascii="Arial" w:eastAsia="MS Mincho" w:hAnsi="Arial" w:cs="Arial"/>
        </w:rPr>
        <w:t xml:space="preserve"> Studnice</w:t>
      </w:r>
      <w:r w:rsidR="00607FD8">
        <w:rPr>
          <w:rFonts w:ascii="Arial" w:eastAsia="MS Mincho" w:hAnsi="Arial" w:cs="Arial"/>
        </w:rPr>
        <w:t xml:space="preserve"> (dále „druhá stavba“)</w:t>
      </w:r>
      <w:r w:rsidR="004C2A3D" w:rsidRPr="004C2A3D">
        <w:rPr>
          <w:rFonts w:ascii="Arial" w:eastAsia="MS Mincho" w:hAnsi="Arial" w:cs="Arial"/>
        </w:rPr>
        <w:t>.</w:t>
      </w:r>
    </w:p>
    <w:p w:rsidR="00366E6D" w:rsidRDefault="00366E6D">
      <w:pPr>
        <w:pStyle w:val="Odstavecseseznamem"/>
        <w:spacing w:before="120"/>
        <w:ind w:left="0"/>
        <w:jc w:val="both"/>
        <w:rPr>
          <w:rFonts w:ascii="Arial" w:eastAsia="MS Mincho" w:hAnsi="Arial" w:cs="Arial"/>
        </w:rPr>
      </w:pPr>
    </w:p>
    <w:p w:rsidR="00366E6D" w:rsidRDefault="00366E6D">
      <w:pPr>
        <w:pStyle w:val="Odstavecseseznamem"/>
        <w:spacing w:before="120"/>
        <w:ind w:left="0"/>
        <w:jc w:val="both"/>
        <w:rPr>
          <w:rFonts w:ascii="Arial" w:eastAsia="MS Mincho" w:hAnsi="Arial" w:cs="Arial"/>
        </w:rPr>
      </w:pPr>
    </w:p>
    <w:p w:rsidR="00AE46A8" w:rsidRDefault="007172A0" w:rsidP="00D77A01">
      <w:pPr>
        <w:pStyle w:val="Odstavecseseznamem"/>
        <w:numPr>
          <w:ilvl w:val="1"/>
          <w:numId w:val="6"/>
        </w:numPr>
        <w:spacing w:before="12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lastRenderedPageBreak/>
        <w:t>První</w:t>
      </w:r>
      <w:r w:rsidR="00AE46A8" w:rsidRPr="00AE46A8">
        <w:rPr>
          <w:rFonts w:ascii="Arial" w:eastAsia="MS Mincho" w:hAnsi="Arial" w:cs="Arial"/>
        </w:rPr>
        <w:t xml:space="preserve"> stavba bude realizována dle projektové dokumentace „II/406 Dvorce - Telč“ ve stupni dokumentace pro vydání společného </w:t>
      </w:r>
      <w:r w:rsidR="00D77A01">
        <w:rPr>
          <w:rFonts w:ascii="Arial" w:eastAsia="MS Mincho" w:hAnsi="Arial" w:cs="Arial"/>
        </w:rPr>
        <w:t>povolení</w:t>
      </w:r>
      <w:r w:rsidR="00AE46A8" w:rsidRPr="00AE46A8">
        <w:rPr>
          <w:rFonts w:ascii="Arial" w:eastAsia="MS Mincho" w:hAnsi="Arial" w:cs="Arial"/>
        </w:rPr>
        <w:t xml:space="preserve"> stavby z 03/2020 (dále též „DÚSP“) a projektové dokumentace pro provedení stavby z 09/2020 (dále též „PDPS“) vypracované společností TRANSCONSULT s.r.o., Nerudova 37</w:t>
      </w:r>
      <w:r>
        <w:rPr>
          <w:rFonts w:ascii="Arial" w:eastAsia="MS Mincho" w:hAnsi="Arial" w:cs="Arial"/>
        </w:rPr>
        <w:t>/32</w:t>
      </w:r>
      <w:r w:rsidR="00AE46A8" w:rsidRPr="00AE46A8">
        <w:rPr>
          <w:rFonts w:ascii="Arial" w:eastAsia="MS Mincho" w:hAnsi="Arial" w:cs="Arial"/>
        </w:rPr>
        <w:t>,</w:t>
      </w:r>
      <w:r>
        <w:rPr>
          <w:rFonts w:ascii="Arial" w:eastAsia="MS Mincho" w:hAnsi="Arial" w:cs="Arial"/>
        </w:rPr>
        <w:t xml:space="preserve"> 500 02</w:t>
      </w:r>
      <w:r w:rsidR="00AE46A8" w:rsidRPr="00AE46A8">
        <w:rPr>
          <w:rFonts w:ascii="Arial" w:eastAsia="MS Mincho" w:hAnsi="Arial" w:cs="Arial"/>
        </w:rPr>
        <w:t xml:space="preserve"> Hradec Králové</w:t>
      </w:r>
      <w:r>
        <w:rPr>
          <w:rFonts w:ascii="Arial" w:eastAsia="MS Mincho" w:hAnsi="Arial" w:cs="Arial"/>
        </w:rPr>
        <w:t>, IČO 474 55 292</w:t>
      </w:r>
      <w:r w:rsidR="00AE46A8" w:rsidRPr="00AE46A8">
        <w:rPr>
          <w:rFonts w:ascii="Arial" w:eastAsia="MS Mincho" w:hAnsi="Arial" w:cs="Arial"/>
        </w:rPr>
        <w:t xml:space="preserve"> v členění stavebních objektů, jejichž investorem je Kraj Vysočina (dle soupisu prací):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SO 000 -</w:t>
      </w:r>
      <w:r w:rsidRPr="00D77A01">
        <w:rPr>
          <w:rFonts w:ascii="Arial" w:hAnsi="Arial" w:cs="Arial"/>
          <w:b w:val="0"/>
          <w:u w:val="none"/>
        </w:rPr>
        <w:t xml:space="preserve"> Všeobecné položky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001 - Příprava staveniště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101 - Okružní křižovatka II/112 – II/406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101.1 - Okružní křižovatka II/112 – II/406 – silnice II/112</w:t>
      </w:r>
    </w:p>
    <w:p w:rsid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102 - Rekonstrukce silnice II/406</w:t>
      </w:r>
    </w:p>
    <w:p w:rsidR="00D93363" w:rsidRPr="00D77A01" w:rsidRDefault="00D93363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>SO 102.1</w:t>
      </w:r>
      <w:r w:rsidR="00196BAE">
        <w:rPr>
          <w:rFonts w:ascii="Arial" w:hAnsi="Arial" w:cs="Arial"/>
          <w:b w:val="0"/>
          <w:u w:val="none"/>
        </w:rPr>
        <w:t xml:space="preserve"> -</w:t>
      </w:r>
      <w:r w:rsidRPr="00196BAE">
        <w:rPr>
          <w:rFonts w:ascii="Arial" w:hAnsi="Arial" w:cs="Arial"/>
          <w:b w:val="0"/>
          <w:u w:val="none"/>
        </w:rPr>
        <w:t xml:space="preserve"> Rekonstrukce silnice II/406</w:t>
      </w:r>
      <w:r w:rsidR="00196BAE"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-</w:t>
      </w:r>
      <w:r w:rsidR="00196BAE"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KÚ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103 - Stavební úpravy chodníků a sjezdů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105 - Oprava silnice I/23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181 - Dopravně inženýrské opatření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191 - Dopravní značení</w:t>
      </w:r>
    </w:p>
    <w:p w:rsid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191.1 - Dopravní značení – silnice II/112</w:t>
      </w:r>
    </w:p>
    <w:p w:rsidR="00D93363" w:rsidRPr="00D77A01" w:rsidRDefault="00D93363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 xml:space="preserve">SO 191.2 </w:t>
      </w:r>
      <w:r w:rsidR="00196BAE">
        <w:rPr>
          <w:rFonts w:ascii="Arial" w:hAnsi="Arial" w:cs="Arial"/>
          <w:b w:val="0"/>
          <w:u w:val="none"/>
        </w:rPr>
        <w:t xml:space="preserve">- </w:t>
      </w:r>
      <w:r w:rsidRPr="00196BAE">
        <w:rPr>
          <w:rFonts w:ascii="Arial" w:hAnsi="Arial" w:cs="Arial"/>
          <w:b w:val="0"/>
          <w:u w:val="none"/>
        </w:rPr>
        <w:t>Dopravní značení - silnice II/406 - KÚ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201 - Lávka přes přítok Nadymáku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301 - Odvodnění okružní křižovatky</w:t>
      </w:r>
    </w:p>
    <w:p w:rsid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301.1 - Odvodnění okružní křižovatky – silnice II/112</w:t>
      </w:r>
    </w:p>
    <w:p w:rsidR="00E427B2" w:rsidRDefault="00E427B2" w:rsidP="00E427B2">
      <w:pPr>
        <w:pStyle w:val="2margrubrika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u w:val="none"/>
        </w:rPr>
        <w:t>SO 301.2 - Odvodnění okružní křižovatky - silnice II/112 - odvodňovací žlábky</w:t>
      </w:r>
    </w:p>
    <w:p w:rsid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302 - Odvodnění silnice II/406</w:t>
      </w:r>
    </w:p>
    <w:p w:rsidR="00196BAE" w:rsidRPr="00D77A01" w:rsidRDefault="00196BAE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196BAE">
        <w:rPr>
          <w:rFonts w:ascii="Arial" w:hAnsi="Arial" w:cs="Arial"/>
          <w:b w:val="0"/>
          <w:u w:val="none"/>
        </w:rPr>
        <w:t>SO 302.1</w:t>
      </w:r>
      <w:r>
        <w:rPr>
          <w:rFonts w:ascii="Arial" w:hAnsi="Arial" w:cs="Arial"/>
          <w:b w:val="0"/>
          <w:u w:val="none"/>
        </w:rPr>
        <w:t xml:space="preserve"> -</w:t>
      </w:r>
      <w:r w:rsidRPr="00196BAE">
        <w:rPr>
          <w:rFonts w:ascii="Arial" w:hAnsi="Arial" w:cs="Arial"/>
          <w:b w:val="0"/>
          <w:u w:val="none"/>
        </w:rPr>
        <w:t xml:space="preserve"> Odvodnění silnice II/406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-</w:t>
      </w:r>
      <w:r>
        <w:rPr>
          <w:rFonts w:ascii="Arial" w:hAnsi="Arial" w:cs="Arial"/>
          <w:b w:val="0"/>
          <w:u w:val="none"/>
        </w:rPr>
        <w:t xml:space="preserve"> </w:t>
      </w:r>
      <w:r w:rsidRPr="00196BAE">
        <w:rPr>
          <w:rFonts w:ascii="Arial" w:hAnsi="Arial" w:cs="Arial"/>
          <w:b w:val="0"/>
          <w:u w:val="none"/>
        </w:rPr>
        <w:t>KÚ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321 - Přeložka kanalizace před č.p. 122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 xml:space="preserve">SO 351 - Přeložka vodovodu LT DN 80 v ulici Na Kotnově 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381 - Stavební úpravy hráze rybníka Nadymák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382 - Přeložka přepadu z rybníka Nadymák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431 - VO okružní křižovatky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431.1 - VO okružní křižovatky – silnice II/112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501 - Přeložka STL plynovodu PE D 90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701 - Úprava oplocení č.p. 79</w:t>
      </w:r>
    </w:p>
    <w:p w:rsidR="00D77A01" w:rsidRPr="00D77A01" w:rsidRDefault="00D77A01" w:rsidP="00D77A01">
      <w:pPr>
        <w:pStyle w:val="2margrubrika"/>
        <w:spacing w:before="120" w:after="0"/>
        <w:rPr>
          <w:rFonts w:ascii="Arial" w:hAnsi="Arial" w:cs="Arial"/>
          <w:b w:val="0"/>
          <w:u w:val="none"/>
        </w:rPr>
      </w:pPr>
      <w:r w:rsidRPr="00D77A01">
        <w:rPr>
          <w:rFonts w:ascii="Arial" w:hAnsi="Arial" w:cs="Arial"/>
          <w:b w:val="0"/>
          <w:u w:val="none"/>
        </w:rPr>
        <w:t>SO 801 - Vegetační úpravy</w:t>
      </w:r>
    </w:p>
    <w:p w:rsidR="00AE46A8" w:rsidRPr="00596538" w:rsidRDefault="00D77A01" w:rsidP="00D77A01">
      <w:pPr>
        <w:pStyle w:val="2margrubrika"/>
        <w:spacing w:before="120" w:after="0"/>
        <w:rPr>
          <w:rFonts w:ascii="Arial" w:hAnsi="Arial" w:cs="Arial"/>
        </w:rPr>
      </w:pPr>
      <w:r w:rsidRPr="00D77A01">
        <w:rPr>
          <w:rFonts w:ascii="Arial" w:hAnsi="Arial" w:cs="Arial"/>
          <w:b w:val="0"/>
          <w:u w:val="none"/>
        </w:rPr>
        <w:t>SO 801.1 - Vegetační úpravy – silnice II/112</w:t>
      </w:r>
    </w:p>
    <w:p w:rsidR="00366E6D" w:rsidRDefault="000164DE" w:rsidP="00D77A01">
      <w:pPr>
        <w:pStyle w:val="Odstavecseseznamem"/>
        <w:spacing w:before="120"/>
        <w:ind w:left="0"/>
        <w:jc w:val="both"/>
        <w:rPr>
          <w:rFonts w:ascii="Arial" w:eastAsia="MS Mincho" w:hAnsi="Arial" w:cs="Arial"/>
        </w:rPr>
      </w:pPr>
      <w:r>
        <w:rPr>
          <w:rFonts w:ascii="Arial" w:hAnsi="Arial" w:cs="Arial"/>
        </w:rPr>
        <w:t>Druhá</w:t>
      </w:r>
      <w:r w:rsidR="00AE46A8" w:rsidRPr="00AE46A8">
        <w:rPr>
          <w:rFonts w:ascii="Arial" w:hAnsi="Arial" w:cs="Arial"/>
        </w:rPr>
        <w:t xml:space="preserve"> stavba bude realizována dle projektové dokumentace II/406 Dvorce – Telč, 3. stavba ve stupni dokumentace pro vydání stavebního povolení</w:t>
      </w:r>
      <w:r w:rsidR="00AE46A8" w:rsidRPr="00AE46A8">
        <w:rPr>
          <w:rFonts w:ascii="Arial" w:hAnsi="Arial" w:cs="Arial"/>
          <w:spacing w:val="-4"/>
        </w:rPr>
        <w:t xml:space="preserve"> z 5/202</w:t>
      </w:r>
      <w:r>
        <w:rPr>
          <w:rFonts w:ascii="Arial" w:hAnsi="Arial" w:cs="Arial"/>
          <w:spacing w:val="-4"/>
        </w:rPr>
        <w:t>0</w:t>
      </w:r>
      <w:r w:rsidR="00AE46A8" w:rsidRPr="00AE46A8">
        <w:rPr>
          <w:rFonts w:ascii="Arial" w:hAnsi="Arial" w:cs="Arial"/>
          <w:spacing w:val="-4"/>
        </w:rPr>
        <w:t xml:space="preserve"> (dále též „DSP“) a projektové dokumentace pro provedení stavby z 9/2020 (dále též „PDPS“) vypracované společností </w:t>
      </w:r>
      <w:r w:rsidR="00AE46A8" w:rsidRPr="00AE46A8">
        <w:rPr>
          <w:rFonts w:ascii="Arial" w:hAnsi="Arial" w:cs="Arial"/>
        </w:rPr>
        <w:t xml:space="preserve"> DOPRAPLAN s.r.o., Přemyslovců 462/6 709 00 Ostrava – Mariánské Hory</w:t>
      </w:r>
      <w:r>
        <w:rPr>
          <w:rFonts w:ascii="Arial" w:hAnsi="Arial" w:cs="Arial"/>
        </w:rPr>
        <w:t>,</w:t>
      </w:r>
      <w:r w:rsidR="00AE46A8" w:rsidRPr="00AE46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IČO 054 11 572 </w:t>
      </w:r>
      <w:r w:rsidR="00AE46A8" w:rsidRPr="00AE46A8">
        <w:rPr>
          <w:rFonts w:ascii="Arial" w:eastAsia="MS Mincho" w:hAnsi="Arial" w:cs="Arial"/>
        </w:rPr>
        <w:t>v členění stavebních objektů, (dle soupisu prací):</w:t>
      </w:r>
    </w:p>
    <w:p w:rsidR="00D77A01" w:rsidRDefault="00D77A01" w:rsidP="00D77A01">
      <w:pPr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 ON - Ostatní náklady</w:t>
      </w:r>
    </w:p>
    <w:p w:rsidR="00D77A01" w:rsidRDefault="00D77A01" w:rsidP="00D77A01">
      <w:pPr>
        <w:widowControl w:val="0"/>
        <w:spacing w:before="120"/>
        <w:jc w:val="both"/>
        <w:rPr>
          <w:rFonts w:ascii="Arial" w:hAnsi="Arial" w:cs="Arial"/>
        </w:rPr>
      </w:pPr>
      <w:r w:rsidRPr="00CE406C">
        <w:rPr>
          <w:rFonts w:ascii="Arial" w:hAnsi="Arial" w:cs="Arial"/>
        </w:rPr>
        <w:t xml:space="preserve">SO 101 </w:t>
      </w:r>
      <w:r>
        <w:rPr>
          <w:rFonts w:ascii="Arial" w:hAnsi="Arial" w:cs="Arial"/>
        </w:rPr>
        <w:t xml:space="preserve">- 001 </w:t>
      </w:r>
      <w:r w:rsidRPr="00CE406C">
        <w:rPr>
          <w:rFonts w:ascii="Arial" w:hAnsi="Arial" w:cs="Arial"/>
        </w:rPr>
        <w:t>Silnice II/406</w:t>
      </w:r>
    </w:p>
    <w:p w:rsidR="00D77A01" w:rsidRDefault="00D77A01" w:rsidP="00D77A01">
      <w:pPr>
        <w:widowControl w:val="0"/>
        <w:spacing w:before="120"/>
        <w:jc w:val="both"/>
        <w:rPr>
          <w:rFonts w:ascii="Arial" w:hAnsi="Arial" w:cs="Arial"/>
        </w:rPr>
      </w:pPr>
      <w:r w:rsidRPr="00CE406C">
        <w:rPr>
          <w:rFonts w:ascii="Arial" w:hAnsi="Arial" w:cs="Arial"/>
        </w:rPr>
        <w:t xml:space="preserve">SO 101 </w:t>
      </w:r>
      <w:r>
        <w:rPr>
          <w:rFonts w:ascii="Arial" w:hAnsi="Arial" w:cs="Arial"/>
        </w:rPr>
        <w:t>- 002 Definitivní dopravní značení</w:t>
      </w:r>
    </w:p>
    <w:p w:rsidR="00D77A01" w:rsidRDefault="00D77A01" w:rsidP="00D77A01">
      <w:pPr>
        <w:widowControl w:val="0"/>
        <w:spacing w:before="120"/>
        <w:jc w:val="both"/>
        <w:rPr>
          <w:rFonts w:ascii="Arial" w:hAnsi="Arial" w:cs="Arial"/>
        </w:rPr>
      </w:pPr>
      <w:r w:rsidRPr="00CE406C">
        <w:rPr>
          <w:rFonts w:ascii="Arial" w:hAnsi="Arial" w:cs="Arial"/>
        </w:rPr>
        <w:t xml:space="preserve">SO 101 </w:t>
      </w:r>
      <w:r>
        <w:rPr>
          <w:rFonts w:ascii="Arial" w:hAnsi="Arial" w:cs="Arial"/>
        </w:rPr>
        <w:t>- 003 Náhradní výsadba</w:t>
      </w:r>
    </w:p>
    <w:p w:rsidR="00D77A01" w:rsidRPr="00596538" w:rsidRDefault="00D77A01" w:rsidP="00D77A01">
      <w:pPr>
        <w:widowControl w:val="0"/>
        <w:spacing w:before="120"/>
        <w:jc w:val="both"/>
        <w:rPr>
          <w:rFonts w:ascii="Arial" w:hAnsi="Arial" w:cs="Arial"/>
        </w:rPr>
      </w:pPr>
      <w:r w:rsidRPr="00CE406C">
        <w:rPr>
          <w:rFonts w:ascii="Arial" w:hAnsi="Arial" w:cs="Arial"/>
        </w:rPr>
        <w:t xml:space="preserve">SO 101 </w:t>
      </w:r>
      <w:r>
        <w:rPr>
          <w:rFonts w:ascii="Arial" w:hAnsi="Arial" w:cs="Arial"/>
        </w:rPr>
        <w:t>- 004 Chránička pro kabel Rowanet</w:t>
      </w:r>
    </w:p>
    <w:p w:rsidR="00366E6D" w:rsidRDefault="001C5C21">
      <w:pPr>
        <w:spacing w:before="120"/>
        <w:jc w:val="both"/>
        <w:rPr>
          <w:rFonts w:ascii="Arial" w:eastAsia="MS Mincho" w:hAnsi="Arial" w:cs="Arial"/>
        </w:rPr>
      </w:pPr>
      <w:r w:rsidRPr="00F403D6">
        <w:rPr>
          <w:rFonts w:ascii="Arial" w:hAnsi="Arial" w:cs="Arial"/>
          <w:spacing w:val="-2"/>
        </w:rPr>
        <w:t>Zhotovitel</w:t>
      </w:r>
      <w:r w:rsidR="00432F74" w:rsidRPr="00F403D6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 w:rsidRPr="00F403D6">
        <w:rPr>
          <w:rFonts w:ascii="Arial" w:hAnsi="Arial" w:cs="Arial"/>
          <w:spacing w:val="-2"/>
        </w:rPr>
        <w:t xml:space="preserve">v dokladové </w:t>
      </w:r>
      <w:r w:rsidR="00432F74" w:rsidRPr="00F403D6">
        <w:rPr>
          <w:rFonts w:ascii="Arial" w:hAnsi="Arial" w:cs="Arial"/>
          <w:spacing w:val="-2"/>
        </w:rPr>
        <w:t>části projektové dokumentace.</w:t>
      </w:r>
    </w:p>
    <w:p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Default="00F73D91" w:rsidP="00F73D91">
      <w:pPr>
        <w:pStyle w:val="Bntext2"/>
      </w:pPr>
    </w:p>
    <w:p w:rsidR="00310279" w:rsidRPr="00B1096B" w:rsidRDefault="00310279" w:rsidP="00F73D91">
      <w:pPr>
        <w:pStyle w:val="Bntext2"/>
      </w:pPr>
    </w:p>
    <w:p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:rsidR="006560BA" w:rsidRPr="00EE48BB" w:rsidRDefault="00215BFB" w:rsidP="002C322D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6E19AB">
        <w:rPr>
          <w:rFonts w:cs="Arial"/>
          <w:szCs w:val="22"/>
        </w:rPr>
        <w:t>h</w:t>
      </w:r>
      <w:r w:rsidR="000934AE" w:rsidRPr="003C1A14">
        <w:rPr>
          <w:rFonts w:cs="Arial"/>
          <w:szCs w:val="22"/>
        </w:rPr>
        <w:t xml:space="preserve">avarijního </w:t>
      </w:r>
      <w:r w:rsidR="006E19AB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:rsidR="00712ADA" w:rsidRDefault="000C2C11" w:rsidP="009E725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667538">
        <w:t>,</w:t>
      </w:r>
    </w:p>
    <w:p w:rsidR="00667538" w:rsidRDefault="00667538" w:rsidP="009E725B">
      <w:pPr>
        <w:pStyle w:val="Bntext2"/>
        <w:tabs>
          <w:tab w:val="num" w:pos="1134"/>
        </w:tabs>
        <w:spacing w:before="60"/>
        <w:ind w:left="284" w:hanging="142"/>
      </w:pPr>
      <w:r>
        <w:t>- zhotovitel</w:t>
      </w:r>
      <w:r w:rsidRPr="00667538">
        <w:t xml:space="preserve"> je povinen vzájemně koordinovat svoji činnost v průběhu výstavby s ostatními zhotoviteli případných souvisejících staveb.</w:t>
      </w:r>
      <w:r>
        <w:t xml:space="preserve"> Zhotovitel </w:t>
      </w:r>
      <w:r w:rsidRPr="00667538">
        <w:t>bude koordinovat stavební práce spojené s realizací stavebních objektů překládek inženýrských sítí společnosti CETIN a.s.</w:t>
      </w:r>
      <w:r>
        <w:t xml:space="preserve"> a </w:t>
      </w:r>
      <w:r w:rsidRPr="00667538">
        <w:t xml:space="preserve"> E.ON</w:t>
      </w:r>
      <w:r>
        <w:t>.</w:t>
      </w:r>
    </w:p>
    <w:p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D161AC" w:rsidRPr="003B64A8" w:rsidRDefault="00D161AC" w:rsidP="00D161A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>
        <w:rPr>
          <w:rFonts w:ascii="Arial" w:hAnsi="Arial" w:cs="Arial"/>
          <w:b w:val="0"/>
          <w:bCs w:val="0"/>
          <w:sz w:val="22"/>
          <w:szCs w:val="22"/>
        </w:rPr>
        <w:t>5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1</w:t>
      </w:r>
    </w:p>
    <w:p w:rsidR="00D161AC" w:rsidRPr="004853E8" w:rsidRDefault="009E725B" w:rsidP="00D161AC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Předčasné užívání stavby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61AC" w:rsidRPr="004853E8">
        <w:rPr>
          <w:rFonts w:ascii="Arial" w:hAnsi="Arial" w:cs="Arial"/>
        </w:rPr>
        <w:t>do 31. 10. 2021</w:t>
      </w:r>
    </w:p>
    <w:p w:rsidR="00E53A96" w:rsidRPr="00B57C09" w:rsidRDefault="00D161AC" w:rsidP="00E53A96">
      <w:pPr>
        <w:spacing w:line="288" w:lineRule="auto"/>
        <w:jc w:val="both"/>
        <w:rPr>
          <w:rFonts w:ascii="Arial" w:hAnsi="Arial" w:cs="Arial"/>
        </w:rPr>
      </w:pPr>
      <w:r w:rsidRPr="003B64A8">
        <w:rPr>
          <w:rFonts w:ascii="Arial" w:hAnsi="Arial" w:cs="Arial"/>
        </w:rPr>
        <w:t>Dokončení díla vč. př</w:t>
      </w:r>
      <w:r>
        <w:rPr>
          <w:rFonts w:ascii="Arial" w:hAnsi="Arial" w:cs="Arial"/>
        </w:rPr>
        <w:t>edání kompletní dokladové části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B64A8">
        <w:rPr>
          <w:rFonts w:ascii="Arial" w:hAnsi="Arial" w:cs="Arial"/>
        </w:rPr>
        <w:t xml:space="preserve">do </w:t>
      </w:r>
      <w:r w:rsidR="00421EEF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. </w:t>
      </w:r>
      <w:r w:rsidR="00421EEF">
        <w:rPr>
          <w:rFonts w:ascii="Arial" w:hAnsi="Arial" w:cs="Arial"/>
        </w:rPr>
        <w:t>01</w:t>
      </w:r>
      <w:r>
        <w:rPr>
          <w:rFonts w:ascii="Arial" w:hAnsi="Arial" w:cs="Arial"/>
        </w:rPr>
        <w:t>. 202</w:t>
      </w:r>
      <w:r w:rsidR="00421EEF">
        <w:rPr>
          <w:rFonts w:ascii="Arial" w:hAnsi="Arial" w:cs="Arial"/>
        </w:rPr>
        <w:t>2</w:t>
      </w:r>
    </w:p>
    <w:p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:rsidR="00421EEF" w:rsidRDefault="00421EEF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</w:rPr>
        <w:t xml:space="preserve">Pozn.: </w:t>
      </w:r>
      <w:r w:rsidRPr="005D488A">
        <w:rPr>
          <w:rFonts w:cs="Arial"/>
          <w:spacing w:val="-4"/>
        </w:rPr>
        <w:t xml:space="preserve">V zimním období </w:t>
      </w:r>
      <w:r>
        <w:rPr>
          <w:rFonts w:cs="Arial"/>
          <w:spacing w:val="-4"/>
        </w:rPr>
        <w:t>(tj. od 1. listopadu do 31. března)</w:t>
      </w:r>
      <w:r w:rsidRPr="005D488A">
        <w:rPr>
          <w:rFonts w:cs="Arial"/>
          <w:spacing w:val="-4"/>
        </w:rPr>
        <w:t xml:space="preserve"> nebudou prováděny jakékoli stavební práce, které by znamenaly omezení (byť jen částečné) provozu na pozemních komunikacích </w:t>
      </w:r>
      <w:r>
        <w:rPr>
          <w:rFonts w:cs="Arial"/>
          <w:spacing w:val="-4"/>
        </w:rPr>
        <w:t>a zimní údržbě</w:t>
      </w:r>
      <w:r w:rsidRPr="008B3210">
        <w:rPr>
          <w:rFonts w:cs="Arial"/>
        </w:rPr>
        <w:t>.</w:t>
      </w: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8F2B96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8F2B96">
        <w:t>,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8F2B96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F96041" w:rsidRDefault="00F96041">
      <w:pPr>
        <w:rPr>
          <w:rFonts w:ascii="Arial" w:hAnsi="Arial"/>
          <w:szCs w:val="24"/>
          <w:lang w:eastAsia="cs-CZ"/>
        </w:rPr>
      </w:pPr>
      <w:r>
        <w:br w:type="page"/>
      </w: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332840" w:rsidRPr="00B74FE7">
        <w:rPr>
          <w:rFonts w:ascii="Arial" w:hAnsi="Arial" w:cs="Arial"/>
          <w:sz w:val="22"/>
        </w:rPr>
        <w:t>II/406 Dvorce – Telč, 3. stavba</w:t>
      </w:r>
      <w:r w:rsidRPr="008F2B96">
        <w:rPr>
          <w:rFonts w:ascii="Arial" w:hAnsi="Arial" w:cs="Arial"/>
          <w:b/>
          <w:bCs/>
          <w:sz w:val="22"/>
        </w:rPr>
        <w:t xml:space="preserve">“ </w:t>
      </w:r>
      <w:r w:rsidRPr="008F2B96">
        <w:rPr>
          <w:rFonts w:ascii="Arial" w:hAnsi="Arial" w:cs="Arial"/>
          <w:bCs/>
          <w:sz w:val="22"/>
        </w:rPr>
        <w:t>a registrační číslo projektu</w:t>
      </w:r>
      <w:r w:rsidR="00340FCB" w:rsidRPr="008F2B96">
        <w:rPr>
          <w:rFonts w:ascii="Arial" w:hAnsi="Arial" w:cs="Arial"/>
          <w:bCs/>
          <w:sz w:val="22"/>
        </w:rPr>
        <w:t>.</w:t>
      </w:r>
      <w:r w:rsidR="00991A3F" w:rsidRPr="008F2B96">
        <w:t xml:space="preserve"> </w:t>
      </w:r>
      <w:r w:rsidR="008F2B96">
        <w:rPr>
          <w:rFonts w:ascii="Arial" w:hAnsi="Arial" w:cs="Arial"/>
          <w:sz w:val="22"/>
        </w:rPr>
        <w:t>CZ.06.1.42/0.0/0.0/20_1</w:t>
      </w:r>
      <w:r w:rsidR="00991A3F" w:rsidRPr="008F2B96">
        <w:rPr>
          <w:rFonts w:ascii="Arial" w:hAnsi="Arial" w:cs="Arial"/>
          <w:sz w:val="22"/>
        </w:rPr>
        <w:t>18/00</w:t>
      </w:r>
      <w:r w:rsidR="008F2B96">
        <w:rPr>
          <w:rFonts w:ascii="Arial" w:hAnsi="Arial" w:cs="Arial"/>
          <w:sz w:val="22"/>
        </w:rPr>
        <w:t>16088</w:t>
      </w:r>
      <w:r w:rsidR="00991A3F" w:rsidRPr="008F2B96">
        <w:rPr>
          <w:rFonts w:ascii="Arial" w:hAnsi="Arial" w:cs="Arial"/>
          <w:sz w:val="22"/>
        </w:rPr>
        <w:t>.</w:t>
      </w:r>
    </w:p>
    <w:p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332840" w:rsidRDefault="0033284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F96041" w:rsidRDefault="00F960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="00986473">
        <w:rPr>
          <w:rFonts w:ascii="Arial" w:hAnsi="Arial" w:cs="Arial"/>
          <w:spacing w:val="6"/>
          <w:sz w:val="22"/>
        </w:rPr>
        <w:t xml:space="preserve">Pro celou stavbu bude veden hlavní stavební deník. </w:t>
      </w: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986473">
        <w:rPr>
          <w:rFonts w:ascii="Arial" w:hAnsi="Arial" w:cs="Arial"/>
          <w:sz w:val="22"/>
        </w:rPr>
        <w:t xml:space="preserve"> </w:t>
      </w:r>
      <w:r w:rsidR="00986473" w:rsidRPr="002E665D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:rsidR="005D0280" w:rsidRPr="008F2B96" w:rsidRDefault="00F77E11" w:rsidP="001F5490">
      <w:pPr>
        <w:pStyle w:val="Zkladntextodsazen21"/>
        <w:ind w:left="2835" w:hanging="2835"/>
        <w:rPr>
          <w:rFonts w:ascii="Arial" w:eastAsia="MS Mincho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5D0280" w:rsidRPr="008F2B96">
        <w:rPr>
          <w:rFonts w:ascii="Arial" w:eastAsia="MS Mincho" w:hAnsi="Arial" w:cs="Arial"/>
          <w:sz w:val="22"/>
        </w:rPr>
        <w:t>TRANSCONSULT s.r.o., Nerudova 37/32, 500 02 Hradec Králové, IČO 474 55 292</w:t>
      </w:r>
    </w:p>
    <w:p w:rsidR="00366E6D" w:rsidRDefault="005D0280">
      <w:pPr>
        <w:pStyle w:val="Zkladntextodsazen21"/>
        <w:ind w:left="2835" w:firstLine="0"/>
        <w:rPr>
          <w:rFonts w:ascii="Arial" w:hAnsi="Arial" w:cs="Arial"/>
          <w:sz w:val="22"/>
        </w:rPr>
      </w:pPr>
      <w:r w:rsidRPr="008F2B96">
        <w:rPr>
          <w:rFonts w:ascii="Arial" w:hAnsi="Arial" w:cs="Arial"/>
          <w:sz w:val="22"/>
        </w:rPr>
        <w:t>DOPRAPLAN s.r.o., Přemyslovců 462/6 709 00 Ostrava – Mariánské Hory, IČO 054 11 572</w:t>
      </w:r>
    </w:p>
    <w:p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A5741D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A5741D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A5741D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B15B4C" w:rsidRDefault="00B15B4C" w:rsidP="00B15B4C">
      <w:pPr>
        <w:pStyle w:val="Odstavecseseznamem"/>
        <w:rPr>
          <w:rFonts w:ascii="Arial" w:hAnsi="Arial" w:cs="Arial"/>
        </w:rPr>
      </w:pPr>
    </w:p>
    <w:p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E074B4" w:rsidRDefault="00E074B4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AA309A">
        <w:rPr>
          <w:rFonts w:ascii="Arial" w:hAnsi="Arial"/>
          <w:lang w:eastAsia="cs-CZ"/>
        </w:rPr>
        <w:t>č. 541</w:t>
      </w:r>
      <w:r w:rsidR="004216D5">
        <w:rPr>
          <w:rFonts w:ascii="Arial" w:hAnsi="Arial"/>
          <w:lang w:eastAsia="cs-CZ"/>
        </w:rPr>
        <w:t>/20</w:t>
      </w:r>
      <w:r w:rsidR="00AA309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AA309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6C0694">
        <w:rPr>
          <w:rFonts w:cs="Arial"/>
          <w:szCs w:val="22"/>
        </w:rPr>
        <w:t>4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F96041" w:rsidRDefault="00F96041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366E6D" w:rsidRDefault="00366E6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:rsidR="00F96041" w:rsidRDefault="00F960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:rsidR="0085694F" w:rsidRDefault="0085694F" w:rsidP="0085694F">
      <w:pPr>
        <w:pStyle w:val="Odstavecseseznamem"/>
        <w:rPr>
          <w:rFonts w:ascii="Arial" w:hAnsi="Arial" w:cs="Arial"/>
        </w:rPr>
      </w:pPr>
    </w:p>
    <w:p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F42FA4" w:rsidRPr="00D430A2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</w:t>
      </w:r>
      <w:r w:rsidRPr="00D430A2">
        <w:rPr>
          <w:rFonts w:ascii="Arial" w:hAnsi="Arial"/>
          <w:sz w:val="22"/>
          <w:szCs w:val="24"/>
          <w:lang w:eastAsia="cs-CZ"/>
        </w:rPr>
        <w:t xml:space="preserve">za každý den prodlení. </w:t>
      </w:r>
    </w:p>
    <w:p w:rsidR="00711D08" w:rsidRPr="00D430A2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D430A2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D430A2">
        <w:rPr>
          <w:rFonts w:ascii="Arial" w:hAnsi="Arial" w:cs="Arial"/>
          <w:sz w:val="22"/>
        </w:rPr>
        <w:t>bankovní záruky za řádné provedení díla dle odst. 12.1</w:t>
      </w:r>
      <w:r w:rsidR="00AB79A8" w:rsidRPr="00D430A2">
        <w:rPr>
          <w:rFonts w:ascii="Arial" w:hAnsi="Arial" w:cs="Arial"/>
          <w:sz w:val="22"/>
        </w:rPr>
        <w:t>.</w:t>
      </w:r>
      <w:r w:rsidRPr="00D430A2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D430A2">
        <w:rPr>
          <w:rFonts w:ascii="Arial" w:hAnsi="Arial" w:cs="Arial"/>
          <w:sz w:val="22"/>
        </w:rPr>
        <w:t>.</w:t>
      </w:r>
      <w:r w:rsidRPr="00D430A2">
        <w:rPr>
          <w:rFonts w:ascii="Arial" w:hAnsi="Arial" w:cs="Arial"/>
          <w:sz w:val="22"/>
        </w:rPr>
        <w:t xml:space="preserve">, </w:t>
      </w:r>
      <w:r w:rsidRPr="00D430A2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D430A2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D430A2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 xml:space="preserve"> </w:t>
      </w:r>
      <w:r w:rsidR="000F1DC8">
        <w:rPr>
          <w:rFonts w:ascii="Arial" w:hAnsi="Arial" w:cs="Arial"/>
        </w:rPr>
        <w:t>2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0F1DC8">
        <w:rPr>
          <w:rFonts w:ascii="Arial" w:hAnsi="Arial" w:cs="Arial"/>
        </w:rPr>
        <w:t>6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:rsidR="00D430A2" w:rsidRDefault="00D430A2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F96041" w:rsidRDefault="00F960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:rsidR="00F72F71" w:rsidRDefault="00F72F71" w:rsidP="00F72F71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:rsidR="00365782" w:rsidRDefault="00365782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96041" w:rsidRDefault="00F9604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96041" w:rsidRDefault="00F9604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bookmarkStart w:id="1" w:name="_GoBack"/>
      <w:bookmarkEnd w:id="1"/>
    </w:p>
    <w:p w:rsidR="00F96041" w:rsidRDefault="00F9604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96041" w:rsidRDefault="00F9604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:rsidR="00F77E11" w:rsidRPr="009A50B9" w:rsidRDefault="005157A8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363" w:rsidRDefault="00D93363">
      <w:r>
        <w:separator/>
      </w:r>
    </w:p>
  </w:endnote>
  <w:endnote w:type="continuationSeparator" w:id="0">
    <w:p w:rsidR="00D93363" w:rsidRDefault="00D93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63" w:rsidRDefault="00D933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D93363" w:rsidRDefault="00D933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63" w:rsidRDefault="00D9336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96041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96041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63" w:rsidRDefault="00D93363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96041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96041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363" w:rsidRDefault="00D93363">
      <w:r>
        <w:separator/>
      </w:r>
    </w:p>
  </w:footnote>
  <w:footnote w:type="continuationSeparator" w:id="0">
    <w:p w:rsidR="00D93363" w:rsidRDefault="00D93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63" w:rsidRPr="00BB2481" w:rsidRDefault="00D93363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D93363" w:rsidRPr="00BB2481" w:rsidRDefault="00D93363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D93363" w:rsidRDefault="00D933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4DE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328E"/>
    <w:rsid w:val="000C67B6"/>
    <w:rsid w:val="000D0C5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1DC8"/>
    <w:rsid w:val="000F2FA2"/>
    <w:rsid w:val="000F3660"/>
    <w:rsid w:val="000F45A2"/>
    <w:rsid w:val="000F7956"/>
    <w:rsid w:val="0010087F"/>
    <w:rsid w:val="001008CF"/>
    <w:rsid w:val="001018B2"/>
    <w:rsid w:val="00101BE7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3163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65988"/>
    <w:rsid w:val="00171ABB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96BAE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47A6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22D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02A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279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840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E6D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65A7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1EEF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17A6"/>
    <w:rsid w:val="004A207C"/>
    <w:rsid w:val="004A5FFB"/>
    <w:rsid w:val="004B395F"/>
    <w:rsid w:val="004B405A"/>
    <w:rsid w:val="004C0A72"/>
    <w:rsid w:val="004C1ED6"/>
    <w:rsid w:val="004C1FE7"/>
    <w:rsid w:val="004C2A3D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5E5E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A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95E81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280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6B07"/>
    <w:rsid w:val="005F7A73"/>
    <w:rsid w:val="00606D3D"/>
    <w:rsid w:val="00607FD8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67538"/>
    <w:rsid w:val="00671346"/>
    <w:rsid w:val="00671678"/>
    <w:rsid w:val="0067186E"/>
    <w:rsid w:val="00672692"/>
    <w:rsid w:val="00672FF0"/>
    <w:rsid w:val="00674FD5"/>
    <w:rsid w:val="00676952"/>
    <w:rsid w:val="0067782C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694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19AB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2A0"/>
    <w:rsid w:val="007176A9"/>
    <w:rsid w:val="00725B5E"/>
    <w:rsid w:val="007326A4"/>
    <w:rsid w:val="00735612"/>
    <w:rsid w:val="00735E5E"/>
    <w:rsid w:val="007377DB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1D55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279E"/>
    <w:rsid w:val="00845C25"/>
    <w:rsid w:val="008479D8"/>
    <w:rsid w:val="008502D7"/>
    <w:rsid w:val="008526EE"/>
    <w:rsid w:val="0085694C"/>
    <w:rsid w:val="0085694F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2B96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4EED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5073"/>
    <w:rsid w:val="00952EB5"/>
    <w:rsid w:val="00960BAD"/>
    <w:rsid w:val="00963108"/>
    <w:rsid w:val="00966B7F"/>
    <w:rsid w:val="0096770E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473"/>
    <w:rsid w:val="009869E6"/>
    <w:rsid w:val="00987649"/>
    <w:rsid w:val="00990321"/>
    <w:rsid w:val="009906C3"/>
    <w:rsid w:val="00991A3F"/>
    <w:rsid w:val="009936BE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35BF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E725B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1E29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5741D"/>
    <w:rsid w:val="00A605EF"/>
    <w:rsid w:val="00A60D34"/>
    <w:rsid w:val="00A612C7"/>
    <w:rsid w:val="00A6232C"/>
    <w:rsid w:val="00A63C63"/>
    <w:rsid w:val="00A656E7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09A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4E40"/>
    <w:rsid w:val="00AD63E0"/>
    <w:rsid w:val="00AE21FB"/>
    <w:rsid w:val="00AE46A8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4FE7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4FEC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26CF"/>
    <w:rsid w:val="00CB59B3"/>
    <w:rsid w:val="00CB6D3B"/>
    <w:rsid w:val="00CC1984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1AC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0A2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297D"/>
    <w:rsid w:val="00D751D2"/>
    <w:rsid w:val="00D7613E"/>
    <w:rsid w:val="00D763DB"/>
    <w:rsid w:val="00D7680C"/>
    <w:rsid w:val="00D77A01"/>
    <w:rsid w:val="00D77BF8"/>
    <w:rsid w:val="00D813F4"/>
    <w:rsid w:val="00D81A34"/>
    <w:rsid w:val="00D83651"/>
    <w:rsid w:val="00D8380E"/>
    <w:rsid w:val="00D84095"/>
    <w:rsid w:val="00D84899"/>
    <w:rsid w:val="00D86B58"/>
    <w:rsid w:val="00D93363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B7EB1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4B4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17E05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5FC8"/>
    <w:rsid w:val="00E36E06"/>
    <w:rsid w:val="00E427B2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07B6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6803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03D6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298E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96041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2F7B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DC859"/>
  <w15:docId w15:val="{A042E7D7-0C7F-4F8E-A246-DF0A2030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9C35BF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9C35BF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C35BF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9C35BF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C35BF"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rsid w:val="009C35BF"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9C35BF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9C35BF"/>
    <w:rPr>
      <w:b/>
    </w:rPr>
  </w:style>
  <w:style w:type="character" w:customStyle="1" w:styleId="Standardnpsmoodstavce1">
    <w:name w:val="Standardní písmo odstavce1"/>
    <w:rsid w:val="009C35BF"/>
  </w:style>
  <w:style w:type="paragraph" w:customStyle="1" w:styleId="Nadpis">
    <w:name w:val="Nadpis"/>
    <w:basedOn w:val="Normln"/>
    <w:next w:val="Zkladntext"/>
    <w:rsid w:val="009C35B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9C35BF"/>
    <w:pPr>
      <w:jc w:val="both"/>
    </w:pPr>
    <w:rPr>
      <w:sz w:val="24"/>
    </w:rPr>
  </w:style>
  <w:style w:type="paragraph" w:styleId="Seznam">
    <w:name w:val="List"/>
    <w:basedOn w:val="Zkladntext"/>
    <w:rsid w:val="009C35BF"/>
    <w:rPr>
      <w:rFonts w:cs="Tahoma"/>
    </w:rPr>
  </w:style>
  <w:style w:type="paragraph" w:customStyle="1" w:styleId="Popisek">
    <w:name w:val="Popisek"/>
    <w:basedOn w:val="Normln"/>
    <w:rsid w:val="009C35B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C35BF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rsid w:val="009C35BF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rsid w:val="009C35BF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sid w:val="009C35BF"/>
    <w:rPr>
      <w:sz w:val="24"/>
    </w:rPr>
  </w:style>
  <w:style w:type="paragraph" w:customStyle="1" w:styleId="Textvbloku1">
    <w:name w:val="Text v bloku1"/>
    <w:basedOn w:val="Normln"/>
    <w:rsid w:val="009C35BF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rsid w:val="009C35BF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rsid w:val="009C35BF"/>
    <w:pPr>
      <w:spacing w:after="120" w:line="480" w:lineRule="auto"/>
    </w:pPr>
  </w:style>
  <w:style w:type="paragraph" w:styleId="Zkladntext3">
    <w:name w:val="Body Text 3"/>
    <w:basedOn w:val="Normln"/>
    <w:rsid w:val="009C35BF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sid w:val="009C35BF"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rsid w:val="009C35BF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rsid w:val="009C35BF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sid w:val="009C35BF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rsid w:val="009C35BF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9C35BF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sid w:val="009C35BF"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sid w:val="009C35B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C35BF"/>
  </w:style>
  <w:style w:type="paragraph" w:styleId="Pedmtkomente">
    <w:name w:val="annotation subject"/>
    <w:basedOn w:val="Textkomente"/>
    <w:next w:val="Textkomente"/>
    <w:semiHidden/>
    <w:rsid w:val="009C35BF"/>
    <w:rPr>
      <w:b/>
      <w:bCs/>
    </w:rPr>
  </w:style>
  <w:style w:type="paragraph" w:styleId="Zhlav">
    <w:name w:val="header"/>
    <w:basedOn w:val="Normln"/>
    <w:link w:val="ZhlavChar"/>
    <w:uiPriority w:val="99"/>
    <w:rsid w:val="009C35B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C35B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C35BF"/>
  </w:style>
  <w:style w:type="paragraph" w:styleId="Rozloendokumentu">
    <w:name w:val="Document Map"/>
    <w:basedOn w:val="Normln"/>
    <w:semiHidden/>
    <w:rsid w:val="009C35BF"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rsid w:val="009C35BF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rsid w:val="009C35BF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35BF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rsid w:val="009C35BF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rsid w:val="009C35BF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sid w:val="009C35BF"/>
    <w:rPr>
      <w:rFonts w:ascii="Arial" w:hAnsi="Arial"/>
      <w:sz w:val="22"/>
    </w:rPr>
  </w:style>
  <w:style w:type="paragraph" w:customStyle="1" w:styleId="VZ">
    <w:name w:val="VZ"/>
    <w:basedOn w:val="Normln"/>
    <w:rsid w:val="009C35B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rsid w:val="009C35BF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rsid w:val="009C35BF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rsid w:val="009C35BF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sid w:val="009C35BF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2margrubrika">
    <w:name w:val="2marg.rubrika"/>
    <w:basedOn w:val="Normln"/>
    <w:qFormat/>
    <w:rsid w:val="00AE46A8"/>
    <w:pPr>
      <w:keepNext/>
      <w:spacing w:before="360" w:after="120"/>
      <w:contextualSpacing/>
      <w:jc w:val="both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459A3-F12C-4CBC-BC68-446DCBBA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21</Pages>
  <Words>9642</Words>
  <Characters>56893</Characters>
  <Application>Microsoft Office Word</Application>
  <DocSecurity>0</DocSecurity>
  <Lines>474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Navrátilová Markéta Ing.</cp:lastModifiedBy>
  <cp:revision>24</cp:revision>
  <cp:lastPrinted>2021-02-11T06:48:00Z</cp:lastPrinted>
  <dcterms:created xsi:type="dcterms:W3CDTF">2021-02-04T11:33:00Z</dcterms:created>
  <dcterms:modified xsi:type="dcterms:W3CDTF">2021-03-08T15:35:00Z</dcterms:modified>
</cp:coreProperties>
</file>